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81" w:rsidRPr="00053A81" w:rsidRDefault="00053A81" w:rsidP="00053A81">
      <w:pPr>
        <w:pStyle w:val="Title"/>
        <w:jc w:val="right"/>
        <w:rPr>
          <w:rFonts w:ascii="Times New Roman" w:hAnsi="Times New Roman"/>
          <w:b/>
          <w:bCs/>
          <w:szCs w:val="28"/>
        </w:rPr>
      </w:pPr>
      <w:r w:rsidRPr="00053A81">
        <w:rPr>
          <w:rFonts w:ascii="Times New Roman" w:hAnsi="Times New Roman"/>
          <w:b/>
          <w:bCs/>
          <w:szCs w:val="28"/>
        </w:rPr>
        <w:t>An overview of geologic factors influencing hydropower development in Himalayas, India</w:t>
      </w:r>
    </w:p>
    <w:p w:rsidR="00053A81" w:rsidRPr="002B02CC" w:rsidRDefault="00053A81" w:rsidP="00053A81">
      <w:pPr>
        <w:pStyle w:val="Author"/>
        <w:spacing w:after="40"/>
        <w:jc w:val="right"/>
        <w:rPr>
          <w:rFonts w:ascii="Times New Roman" w:hAnsi="Times New Roman"/>
          <w:szCs w:val="20"/>
        </w:rPr>
      </w:pPr>
    </w:p>
    <w:p w:rsidR="00053A81" w:rsidRPr="00053A81" w:rsidRDefault="00053A81" w:rsidP="00053A81">
      <w:pPr>
        <w:pStyle w:val="Author"/>
        <w:spacing w:after="40"/>
        <w:jc w:val="right"/>
        <w:rPr>
          <w:rFonts w:ascii="Times New Roman" w:hAnsi="Times New Roman"/>
          <w:i/>
          <w:iCs/>
          <w:sz w:val="24"/>
        </w:rPr>
      </w:pPr>
      <w:r w:rsidRPr="00053A81">
        <w:rPr>
          <w:rFonts w:ascii="Times New Roman" w:hAnsi="Times New Roman"/>
          <w:i/>
          <w:iCs/>
          <w:sz w:val="24"/>
        </w:rPr>
        <w:t>Dhawan, G.</w:t>
      </w:r>
    </w:p>
    <w:p w:rsidR="00053A81" w:rsidRPr="00053A81" w:rsidRDefault="00053A81" w:rsidP="00053A81">
      <w:pPr>
        <w:spacing w:after="40"/>
        <w:jc w:val="right"/>
        <w:rPr>
          <w:i/>
          <w:iCs/>
        </w:rPr>
      </w:pPr>
      <w:r w:rsidRPr="00053A81">
        <w:rPr>
          <w:i/>
          <w:iCs/>
        </w:rPr>
        <w:t>Executive Director (Geotech) NHPC Limited (A Govt. of India Enterprise), Faridabad 121001, Haryana, India</w:t>
      </w:r>
    </w:p>
    <w:p w:rsidR="00053A81" w:rsidRPr="00053A81" w:rsidRDefault="00053A81" w:rsidP="00053A81">
      <w:pPr>
        <w:pStyle w:val="Author"/>
        <w:spacing w:after="40"/>
        <w:jc w:val="right"/>
        <w:rPr>
          <w:rFonts w:ascii="Times New Roman" w:hAnsi="Times New Roman"/>
          <w:i/>
          <w:iCs/>
          <w:sz w:val="24"/>
        </w:rPr>
      </w:pPr>
      <w:r w:rsidRPr="00053A81">
        <w:rPr>
          <w:rFonts w:ascii="Times New Roman" w:hAnsi="Times New Roman"/>
          <w:i/>
          <w:iCs/>
          <w:sz w:val="24"/>
        </w:rPr>
        <w:t>Raju, M.</w:t>
      </w:r>
    </w:p>
    <w:p w:rsidR="00053A81" w:rsidRPr="00053A81" w:rsidRDefault="00053A81" w:rsidP="00053A81">
      <w:pPr>
        <w:pStyle w:val="Author"/>
        <w:spacing w:after="40"/>
        <w:jc w:val="right"/>
        <w:rPr>
          <w:rFonts w:ascii="Times New Roman" w:hAnsi="Times New Roman"/>
          <w:i/>
          <w:iCs/>
          <w:sz w:val="24"/>
        </w:rPr>
      </w:pPr>
      <w:r w:rsidRPr="00053A81">
        <w:rPr>
          <w:rFonts w:ascii="Times New Roman" w:hAnsi="Times New Roman"/>
          <w:i/>
          <w:iCs/>
          <w:sz w:val="24"/>
        </w:rPr>
        <w:t>Director, Engineering Geology Division IV, Geological Survey of India, 27 J.L. Nehru Road, Kolkatta-760016, West Bengal, India</w:t>
      </w:r>
    </w:p>
    <w:p w:rsidR="00053A81" w:rsidRPr="00962983" w:rsidRDefault="00053A81" w:rsidP="00053A81">
      <w:pPr>
        <w:pStyle w:val="copyright"/>
        <w:spacing w:after="60" w:line="240" w:lineRule="auto"/>
        <w:ind w:left="90"/>
        <w:jc w:val="right"/>
        <w:rPr>
          <w:i/>
          <w:iCs/>
          <w:sz w:val="16"/>
          <w:szCs w:val="16"/>
        </w:rPr>
      </w:pPr>
    </w:p>
    <w:p w:rsidR="00053A81" w:rsidRPr="00962983" w:rsidRDefault="00962983" w:rsidP="00053A81">
      <w:pPr>
        <w:pStyle w:val="copyright"/>
        <w:spacing w:after="60" w:line="240" w:lineRule="auto"/>
        <w:ind w:left="90"/>
        <w:jc w:val="right"/>
        <w:rPr>
          <w:rFonts w:ascii="Times New Roman" w:hAnsi="Times New Roman"/>
          <w:i/>
          <w:iCs/>
          <w:sz w:val="16"/>
          <w:szCs w:val="16"/>
        </w:rPr>
      </w:pPr>
      <w:r w:rsidRPr="00962983">
        <w:rPr>
          <w:rFonts w:ascii="Times New Roman" w:hAnsi="Times New Roman"/>
          <w:i/>
          <w:iCs/>
          <w:sz w:val="16"/>
          <w:szCs w:val="16"/>
        </w:rPr>
        <w:t>Received August 2012/Accepted February 2013</w:t>
      </w:r>
    </w:p>
    <w:p w:rsidR="00E850A8" w:rsidRDefault="00BB543D"/>
    <w:p w:rsidR="00053A81" w:rsidRPr="001D0779" w:rsidRDefault="00053A81" w:rsidP="00053A81">
      <w:pPr>
        <w:jc w:val="center"/>
        <w:rPr>
          <w:b/>
          <w:bCs/>
          <w:sz w:val="20"/>
          <w:szCs w:val="20"/>
        </w:rPr>
      </w:pPr>
      <w:r w:rsidRPr="001D0779">
        <w:rPr>
          <w:b/>
          <w:bCs/>
          <w:sz w:val="20"/>
          <w:szCs w:val="20"/>
        </w:rPr>
        <w:t>Abstract</w:t>
      </w:r>
    </w:p>
    <w:p w:rsidR="00053A81" w:rsidRPr="00053A81" w:rsidRDefault="00053A81" w:rsidP="00053A81">
      <w:pPr>
        <w:jc w:val="center"/>
        <w:rPr>
          <w:sz w:val="20"/>
          <w:szCs w:val="20"/>
        </w:rPr>
      </w:pPr>
    </w:p>
    <w:p w:rsidR="001D0779" w:rsidRDefault="00053A81" w:rsidP="00053A81">
      <w:pPr>
        <w:jc w:val="both"/>
        <w:rPr>
          <w:sz w:val="20"/>
          <w:szCs w:val="20"/>
        </w:rPr>
      </w:pPr>
      <w:r w:rsidRPr="00053A81">
        <w:rPr>
          <w:sz w:val="20"/>
          <w:szCs w:val="20"/>
        </w:rPr>
        <w:t xml:space="preserve">Abstract should be limited to 200 words and cover the entire paper. Many authors give introduction in a brief manner in place of abstract which is discouraged. Abstract is actually a summary of the entire work carried out. The purpose of giving abstract </w:t>
      </w:r>
      <w:r>
        <w:rPr>
          <w:sz w:val="20"/>
          <w:szCs w:val="20"/>
        </w:rPr>
        <w:t>is to allow researchers and other professional go through a copious bunch of papers to find the relevant work of their own interest. Even though it is said that abstract may stand alon</w:t>
      </w:r>
      <w:r w:rsidR="001D0779">
        <w:rPr>
          <w:sz w:val="20"/>
          <w:szCs w:val="20"/>
        </w:rPr>
        <w:t>e and be able to communicate what the authors want</w:t>
      </w:r>
      <w:r w:rsidR="00E36E91">
        <w:rPr>
          <w:sz w:val="20"/>
          <w:szCs w:val="20"/>
        </w:rPr>
        <w:t>,</w:t>
      </w:r>
      <w:r w:rsidR="001D0779">
        <w:rPr>
          <w:sz w:val="20"/>
          <w:szCs w:val="20"/>
        </w:rPr>
        <w:t xml:space="preserve"> many writers find it difficult to portray a true picture of their entire work. This is where the judicious choice of approach and use of minimal expressions to convey important messages is required. Figures, tables and pictures are not required in the abstract. It is strongly encouraged to produce original work however preliminary it may be, if it conveys even one single message Journal of Engineering Geology will be happy to publish the same. However, all papers will be professionally or scholarly peer reviewed as the case may be. The journal lays great emphasis on scientific ethics and moral values.</w:t>
      </w:r>
    </w:p>
    <w:p w:rsidR="001D0779" w:rsidRDefault="001D0779" w:rsidP="00053A81">
      <w:pPr>
        <w:jc w:val="both"/>
        <w:rPr>
          <w:sz w:val="20"/>
          <w:szCs w:val="20"/>
        </w:rPr>
      </w:pPr>
    </w:p>
    <w:p w:rsidR="001D0779" w:rsidRDefault="001D0779" w:rsidP="00053A81">
      <w:pPr>
        <w:jc w:val="both"/>
        <w:rPr>
          <w:sz w:val="20"/>
          <w:szCs w:val="20"/>
        </w:rPr>
      </w:pPr>
    </w:p>
    <w:p w:rsidR="00053A81" w:rsidRDefault="001D0779" w:rsidP="001D0779">
      <w:pPr>
        <w:pStyle w:val="ListParagraph"/>
        <w:numPr>
          <w:ilvl w:val="0"/>
          <w:numId w:val="2"/>
        </w:numPr>
        <w:ind w:hanging="720"/>
        <w:jc w:val="both"/>
        <w:rPr>
          <w:b/>
          <w:bCs/>
        </w:rPr>
      </w:pPr>
      <w:r w:rsidRPr="001D0779">
        <w:rPr>
          <w:b/>
          <w:bCs/>
        </w:rPr>
        <w:t>Introduction</w:t>
      </w:r>
      <w:r w:rsidR="00CA478D">
        <w:rPr>
          <w:b/>
          <w:bCs/>
        </w:rPr>
        <w:t>:</w:t>
      </w:r>
      <w:r w:rsidRPr="001D0779">
        <w:rPr>
          <w:b/>
          <w:bCs/>
        </w:rPr>
        <w:t xml:space="preserve"> </w:t>
      </w:r>
    </w:p>
    <w:p w:rsidR="00E36E91" w:rsidRDefault="00E36E91" w:rsidP="00E36E91">
      <w:pPr>
        <w:jc w:val="both"/>
        <w:rPr>
          <w:b/>
          <w:bCs/>
        </w:rPr>
      </w:pPr>
    </w:p>
    <w:p w:rsidR="00E36E91" w:rsidRDefault="00E36E91" w:rsidP="00E36E91">
      <w:pPr>
        <w:jc w:val="both"/>
      </w:pPr>
      <w:r>
        <w:t xml:space="preserve">India is endowed with a rich hydropower potential which is mainly located in northern and northeastern regions of the country. This due to the presence of 2400 km long Himalayas which have a rugged topography and perennial river systems: the Indus, mighty Ganges and Brahmaputra. The Government of is India is actively encouraging the exploitation of this renewable source of energy in an environment friendly manner. </w:t>
      </w:r>
    </w:p>
    <w:p w:rsidR="00E36E91" w:rsidRDefault="00E36E91" w:rsidP="00E36E91">
      <w:pPr>
        <w:jc w:val="both"/>
      </w:pPr>
    </w:p>
    <w:p w:rsidR="00E36E91" w:rsidRDefault="00E36E91" w:rsidP="00E36E91">
      <w:pPr>
        <w:pStyle w:val="ListParagraph"/>
        <w:numPr>
          <w:ilvl w:val="0"/>
          <w:numId w:val="2"/>
        </w:numPr>
        <w:ind w:hanging="720"/>
        <w:jc w:val="both"/>
        <w:rPr>
          <w:b/>
          <w:bCs/>
        </w:rPr>
      </w:pPr>
      <w:r>
        <w:rPr>
          <w:b/>
          <w:bCs/>
        </w:rPr>
        <w:t>Geology of the Himalayas</w:t>
      </w:r>
      <w:r w:rsidR="00CA478D">
        <w:rPr>
          <w:b/>
          <w:bCs/>
        </w:rPr>
        <w:t>:</w:t>
      </w:r>
    </w:p>
    <w:p w:rsidR="00E36E91" w:rsidRPr="00E36E91" w:rsidRDefault="00E36E91" w:rsidP="00E36E91">
      <w:pPr>
        <w:jc w:val="both"/>
      </w:pPr>
    </w:p>
    <w:p w:rsidR="00E36E91" w:rsidRDefault="00E36E91" w:rsidP="00E36E91">
      <w:pPr>
        <w:jc w:val="both"/>
      </w:pPr>
      <w:r w:rsidRPr="00E36E91">
        <w:t xml:space="preserve">It is well known that </w:t>
      </w:r>
      <w:r>
        <w:t>there are four main physiographic divisions in the Himalayas which are also geologically different entities.</w:t>
      </w:r>
    </w:p>
    <w:p w:rsidR="00E36E91" w:rsidRDefault="00E36E91" w:rsidP="00E36E91">
      <w:pPr>
        <w:jc w:val="both"/>
      </w:pPr>
    </w:p>
    <w:p w:rsidR="00CA478D" w:rsidRDefault="00CA478D" w:rsidP="00E36E91">
      <w:pPr>
        <w:jc w:val="both"/>
      </w:pPr>
    </w:p>
    <w:p w:rsidR="00CA478D" w:rsidRDefault="00CA478D" w:rsidP="00CA478D">
      <w:pPr>
        <w:pStyle w:val="ListParagraph"/>
        <w:numPr>
          <w:ilvl w:val="0"/>
          <w:numId w:val="2"/>
        </w:numPr>
        <w:ind w:hanging="720"/>
        <w:jc w:val="both"/>
        <w:rPr>
          <w:b/>
          <w:bCs/>
        </w:rPr>
      </w:pPr>
      <w:r>
        <w:rPr>
          <w:b/>
          <w:bCs/>
        </w:rPr>
        <w:t>Engineering Geologic Factors Influencing Engineering Structures:</w:t>
      </w:r>
    </w:p>
    <w:p w:rsidR="00CA478D" w:rsidRDefault="00CA478D" w:rsidP="00E36E91">
      <w:pPr>
        <w:jc w:val="both"/>
      </w:pPr>
    </w:p>
    <w:p w:rsidR="00CA478D" w:rsidRDefault="00CA478D" w:rsidP="00E36E91">
      <w:pPr>
        <w:jc w:val="both"/>
      </w:pPr>
      <w:r>
        <w:t xml:space="preserve">There are many engineering geologic factors influencing the planning, engineering designs and construction methodology. </w:t>
      </w:r>
    </w:p>
    <w:p w:rsidR="00CA478D" w:rsidRDefault="00CA478D" w:rsidP="00E36E91">
      <w:pPr>
        <w:jc w:val="both"/>
      </w:pPr>
    </w:p>
    <w:p w:rsidR="00CA478D" w:rsidRDefault="00CA478D" w:rsidP="00E36E91">
      <w:pPr>
        <w:jc w:val="both"/>
      </w:pPr>
    </w:p>
    <w:p w:rsidR="00CA478D" w:rsidRDefault="00CA478D" w:rsidP="00E36E91">
      <w:pPr>
        <w:jc w:val="both"/>
      </w:pPr>
    </w:p>
    <w:p w:rsidR="00CA478D" w:rsidRDefault="00CA478D" w:rsidP="00E36E91">
      <w:pPr>
        <w:jc w:val="both"/>
      </w:pPr>
    </w:p>
    <w:p w:rsidR="00CA478D" w:rsidRDefault="00B455D0" w:rsidP="00F33B96">
      <w:pPr>
        <w:jc w:val="right"/>
        <w:rPr>
          <w:i/>
          <w:iCs/>
        </w:rPr>
      </w:pPr>
      <w:r>
        <w:rPr>
          <w:i/>
          <w:iCs/>
        </w:rPr>
        <w:t xml:space="preserve">J of EG, </w:t>
      </w:r>
      <w:r w:rsidR="00F33B96">
        <w:rPr>
          <w:i/>
          <w:iCs/>
        </w:rPr>
        <w:t xml:space="preserve"> Volume XXII, Nos. 1&amp;2, July 2013 </w:t>
      </w:r>
    </w:p>
    <w:p w:rsidR="003B6351" w:rsidRPr="00F33B96" w:rsidRDefault="003B6351" w:rsidP="00F33B96">
      <w:pPr>
        <w:jc w:val="right"/>
        <w:rPr>
          <w:i/>
          <w:iCs/>
        </w:rPr>
      </w:pPr>
    </w:p>
    <w:p w:rsidR="00E36E91" w:rsidRPr="00AD6162" w:rsidRDefault="00CA478D" w:rsidP="00CA478D">
      <w:pPr>
        <w:jc w:val="center"/>
      </w:pPr>
      <w:r w:rsidRPr="00AD6162">
        <w:t>Table 1</w:t>
      </w:r>
    </w:p>
    <w:p w:rsidR="00AD6162" w:rsidRDefault="00CA478D" w:rsidP="00AD6162">
      <w:pPr>
        <w:pStyle w:val="Paragraph"/>
        <w:spacing w:after="0"/>
        <w:jc w:val="center"/>
      </w:pPr>
      <w:bookmarkStart w:id="0" w:name="OLE_LINK3"/>
      <w:bookmarkStart w:id="1" w:name="OLE_LINK4"/>
      <w:r w:rsidRPr="00AD6162">
        <w:t>Engineering Geologic Evaluation</w:t>
      </w:r>
    </w:p>
    <w:p w:rsidR="00AD6162" w:rsidRPr="00AD6162" w:rsidRDefault="00AD6162" w:rsidP="00AD6162">
      <w:pPr>
        <w:pStyle w:val="Paragraph"/>
        <w:spacing w:after="0"/>
        <w:jc w:val="cente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2970"/>
        <w:gridCol w:w="3150"/>
      </w:tblGrid>
      <w:tr w:rsidR="00CA478D" w:rsidRPr="009F1F3A" w:rsidTr="00F33B96">
        <w:trPr>
          <w:trHeight w:val="458"/>
        </w:trPr>
        <w:tc>
          <w:tcPr>
            <w:tcW w:w="540" w:type="dxa"/>
          </w:tcPr>
          <w:p w:rsidR="00CA478D" w:rsidRPr="00F33B96" w:rsidRDefault="00CA478D" w:rsidP="00CA478D">
            <w:pPr>
              <w:pStyle w:val="Paragraph"/>
              <w:spacing w:after="0"/>
              <w:ind w:left="-108" w:right="-108"/>
              <w:jc w:val="center"/>
              <w:rPr>
                <w:sz w:val="20"/>
                <w:szCs w:val="20"/>
              </w:rPr>
            </w:pPr>
            <w:r w:rsidRPr="00F33B96">
              <w:rPr>
                <w:sz w:val="20"/>
                <w:szCs w:val="20"/>
              </w:rPr>
              <w:t>Sr.</w:t>
            </w:r>
          </w:p>
          <w:p w:rsidR="00CA478D" w:rsidRPr="00F33B96" w:rsidRDefault="00CA478D" w:rsidP="00CA478D">
            <w:pPr>
              <w:pStyle w:val="Paragraph"/>
              <w:spacing w:after="0"/>
              <w:ind w:left="-108" w:right="-108"/>
              <w:jc w:val="center"/>
              <w:rPr>
                <w:sz w:val="20"/>
                <w:szCs w:val="20"/>
              </w:rPr>
            </w:pPr>
            <w:r w:rsidRPr="00F33B96">
              <w:rPr>
                <w:sz w:val="20"/>
                <w:szCs w:val="20"/>
              </w:rPr>
              <w:t>No</w:t>
            </w:r>
          </w:p>
        </w:tc>
        <w:tc>
          <w:tcPr>
            <w:tcW w:w="1980" w:type="dxa"/>
          </w:tcPr>
          <w:p w:rsidR="00CA478D" w:rsidRPr="00F33B96" w:rsidRDefault="00CA478D" w:rsidP="003B1436">
            <w:pPr>
              <w:pStyle w:val="Paragraph"/>
              <w:spacing w:after="0"/>
              <w:ind w:left="-18"/>
              <w:jc w:val="center"/>
              <w:rPr>
                <w:sz w:val="20"/>
                <w:szCs w:val="20"/>
              </w:rPr>
            </w:pPr>
            <w:r w:rsidRPr="00F33B96">
              <w:rPr>
                <w:sz w:val="20"/>
                <w:szCs w:val="20"/>
              </w:rPr>
              <w:t>Physiographic Division</w:t>
            </w:r>
          </w:p>
        </w:tc>
        <w:tc>
          <w:tcPr>
            <w:tcW w:w="2970" w:type="dxa"/>
          </w:tcPr>
          <w:p w:rsidR="00CA478D" w:rsidRPr="00F33B96" w:rsidRDefault="00CA478D" w:rsidP="003B1436">
            <w:pPr>
              <w:pStyle w:val="Paragraph"/>
              <w:spacing w:after="0"/>
              <w:ind w:right="-18"/>
              <w:jc w:val="center"/>
              <w:rPr>
                <w:sz w:val="20"/>
                <w:szCs w:val="20"/>
              </w:rPr>
            </w:pPr>
            <w:r w:rsidRPr="00F33B96">
              <w:rPr>
                <w:sz w:val="20"/>
                <w:szCs w:val="20"/>
              </w:rPr>
              <w:t>Main Rock Types</w:t>
            </w:r>
          </w:p>
        </w:tc>
        <w:tc>
          <w:tcPr>
            <w:tcW w:w="3150" w:type="dxa"/>
          </w:tcPr>
          <w:p w:rsidR="00CA478D" w:rsidRPr="00F33B96" w:rsidRDefault="00CA478D" w:rsidP="003B1436">
            <w:pPr>
              <w:pStyle w:val="Paragraph"/>
              <w:spacing w:after="0"/>
              <w:ind w:right="-18"/>
              <w:jc w:val="center"/>
              <w:rPr>
                <w:sz w:val="20"/>
                <w:szCs w:val="20"/>
              </w:rPr>
            </w:pPr>
            <w:r w:rsidRPr="00F33B96">
              <w:rPr>
                <w:sz w:val="20"/>
                <w:szCs w:val="20"/>
              </w:rPr>
              <w:t>Engineering Evaluation</w:t>
            </w:r>
          </w:p>
        </w:tc>
      </w:tr>
      <w:tr w:rsidR="00CA478D" w:rsidRPr="009F1F3A" w:rsidTr="00F33B96">
        <w:tc>
          <w:tcPr>
            <w:tcW w:w="540" w:type="dxa"/>
          </w:tcPr>
          <w:p w:rsidR="00CA478D" w:rsidRPr="00F33B96" w:rsidRDefault="00CA478D" w:rsidP="00CA478D">
            <w:pPr>
              <w:pStyle w:val="Paragraph"/>
              <w:spacing w:after="0"/>
              <w:ind w:left="-108" w:right="-108"/>
              <w:jc w:val="center"/>
              <w:rPr>
                <w:sz w:val="20"/>
                <w:szCs w:val="20"/>
              </w:rPr>
            </w:pPr>
            <w:r w:rsidRPr="00F33B96">
              <w:rPr>
                <w:sz w:val="20"/>
                <w:szCs w:val="20"/>
              </w:rPr>
              <w:t>1.</w:t>
            </w:r>
          </w:p>
        </w:tc>
        <w:tc>
          <w:tcPr>
            <w:tcW w:w="1980" w:type="dxa"/>
          </w:tcPr>
          <w:p w:rsidR="00CA478D" w:rsidRPr="00F33B96" w:rsidRDefault="00CA478D" w:rsidP="003B1436">
            <w:pPr>
              <w:pStyle w:val="Paragraph"/>
              <w:spacing w:after="0"/>
              <w:ind w:left="-18"/>
              <w:jc w:val="both"/>
              <w:rPr>
                <w:sz w:val="20"/>
                <w:szCs w:val="20"/>
              </w:rPr>
            </w:pPr>
            <w:r w:rsidRPr="00F33B96">
              <w:rPr>
                <w:sz w:val="20"/>
                <w:szCs w:val="20"/>
              </w:rPr>
              <w:t xml:space="preserve">Siwalik or Sub-Himalaya  </w:t>
            </w:r>
          </w:p>
        </w:tc>
        <w:tc>
          <w:tcPr>
            <w:tcW w:w="2970" w:type="dxa"/>
          </w:tcPr>
          <w:p w:rsidR="00CA478D" w:rsidRPr="00F33B96" w:rsidRDefault="003B1436" w:rsidP="003B1436">
            <w:pPr>
              <w:pStyle w:val="Paragraph"/>
              <w:spacing w:after="0"/>
              <w:ind w:right="-18"/>
              <w:jc w:val="center"/>
              <w:rPr>
                <w:sz w:val="20"/>
                <w:szCs w:val="20"/>
              </w:rPr>
            </w:pPr>
            <w:r w:rsidRPr="00F33B96">
              <w:rPr>
                <w:sz w:val="20"/>
                <w:szCs w:val="20"/>
              </w:rPr>
              <w:t>Sandstone, siltstone, boulder conglomerate</w:t>
            </w:r>
          </w:p>
        </w:tc>
        <w:tc>
          <w:tcPr>
            <w:tcW w:w="3150" w:type="dxa"/>
          </w:tcPr>
          <w:p w:rsidR="00CA478D" w:rsidRPr="00F33B96" w:rsidRDefault="003B1436" w:rsidP="003B1436">
            <w:pPr>
              <w:pStyle w:val="Paragraph"/>
              <w:spacing w:after="0"/>
              <w:ind w:right="-18"/>
              <w:jc w:val="both"/>
              <w:rPr>
                <w:sz w:val="20"/>
                <w:szCs w:val="20"/>
              </w:rPr>
            </w:pPr>
            <w:r w:rsidRPr="00F33B96">
              <w:rPr>
                <w:sz w:val="20"/>
                <w:szCs w:val="20"/>
              </w:rPr>
              <w:t>Low to moderate strength, wide jointing</w:t>
            </w:r>
          </w:p>
        </w:tc>
      </w:tr>
      <w:tr w:rsidR="00CA478D" w:rsidRPr="009F1F3A" w:rsidTr="00F33B96">
        <w:tc>
          <w:tcPr>
            <w:tcW w:w="540" w:type="dxa"/>
          </w:tcPr>
          <w:p w:rsidR="00CA478D" w:rsidRPr="00F33B96" w:rsidRDefault="00CA478D" w:rsidP="00CA478D">
            <w:pPr>
              <w:pStyle w:val="Paragraph"/>
              <w:spacing w:after="0"/>
              <w:ind w:left="-108" w:right="-108"/>
              <w:jc w:val="center"/>
              <w:rPr>
                <w:sz w:val="20"/>
                <w:szCs w:val="20"/>
              </w:rPr>
            </w:pPr>
            <w:r w:rsidRPr="00F33B96">
              <w:rPr>
                <w:sz w:val="20"/>
                <w:szCs w:val="20"/>
              </w:rPr>
              <w:t>2.</w:t>
            </w:r>
          </w:p>
        </w:tc>
        <w:tc>
          <w:tcPr>
            <w:tcW w:w="1980" w:type="dxa"/>
          </w:tcPr>
          <w:p w:rsidR="00CA478D" w:rsidRPr="00F33B96" w:rsidRDefault="003B1436" w:rsidP="003B1436">
            <w:pPr>
              <w:pStyle w:val="Paragraph"/>
              <w:spacing w:after="0"/>
              <w:ind w:left="-18"/>
              <w:jc w:val="both"/>
              <w:rPr>
                <w:sz w:val="20"/>
                <w:szCs w:val="20"/>
                <w:lang w:val="de-DE"/>
              </w:rPr>
            </w:pPr>
            <w:r w:rsidRPr="00F33B96">
              <w:rPr>
                <w:sz w:val="20"/>
                <w:szCs w:val="20"/>
                <w:lang w:val="de-DE"/>
              </w:rPr>
              <w:t>Lesser Himalaya</w:t>
            </w:r>
          </w:p>
        </w:tc>
        <w:tc>
          <w:tcPr>
            <w:tcW w:w="2970" w:type="dxa"/>
          </w:tcPr>
          <w:p w:rsidR="00CA478D" w:rsidRPr="00F33B96" w:rsidRDefault="003B1436" w:rsidP="003B1436">
            <w:pPr>
              <w:pStyle w:val="Paragraph"/>
              <w:spacing w:after="0"/>
              <w:ind w:right="-18"/>
              <w:jc w:val="center"/>
              <w:rPr>
                <w:sz w:val="20"/>
                <w:szCs w:val="20"/>
              </w:rPr>
            </w:pPr>
            <w:r w:rsidRPr="00F33B96">
              <w:rPr>
                <w:sz w:val="20"/>
                <w:szCs w:val="20"/>
              </w:rPr>
              <w:t>Low Grade metamorphics, volcanic, intrusive granite</w:t>
            </w:r>
          </w:p>
        </w:tc>
        <w:tc>
          <w:tcPr>
            <w:tcW w:w="3150" w:type="dxa"/>
          </w:tcPr>
          <w:p w:rsidR="00CA478D" w:rsidRPr="00F33B96" w:rsidRDefault="003B1436" w:rsidP="003B1436">
            <w:pPr>
              <w:pStyle w:val="Paragraph"/>
              <w:spacing w:after="0"/>
              <w:ind w:right="-18"/>
              <w:jc w:val="both"/>
              <w:rPr>
                <w:sz w:val="20"/>
                <w:szCs w:val="20"/>
              </w:rPr>
            </w:pPr>
            <w:r w:rsidRPr="00F33B96">
              <w:rPr>
                <w:sz w:val="20"/>
                <w:szCs w:val="20"/>
              </w:rPr>
              <w:t xml:space="preserve">Wide range in strength but mainly moderate to strong </w:t>
            </w:r>
          </w:p>
        </w:tc>
      </w:tr>
    </w:tbl>
    <w:p w:rsidR="00CA478D" w:rsidRPr="003B1436" w:rsidRDefault="00CA478D" w:rsidP="00CA478D">
      <w:pPr>
        <w:pStyle w:val="Paragraph"/>
        <w:jc w:val="both"/>
        <w:rPr>
          <w:sz w:val="22"/>
          <w:szCs w:val="22"/>
          <w:lang w:val="en-IN"/>
        </w:rPr>
      </w:pPr>
    </w:p>
    <w:p w:rsidR="003B1436" w:rsidRDefault="003B1436" w:rsidP="00CA478D">
      <w:pPr>
        <w:pStyle w:val="Paragraph"/>
        <w:jc w:val="both"/>
        <w:rPr>
          <w:sz w:val="22"/>
          <w:szCs w:val="22"/>
          <w:lang w:val="es-ES"/>
        </w:rPr>
      </w:pPr>
      <w:r w:rsidRPr="003B1436">
        <w:rPr>
          <w:sz w:val="22"/>
          <w:szCs w:val="22"/>
          <w:lang w:val="en-IN"/>
        </w:rPr>
        <w:t>This</w:t>
      </w:r>
      <w:r w:rsidRPr="00D04B95">
        <w:rPr>
          <w:sz w:val="22"/>
          <w:szCs w:val="22"/>
          <w:lang w:val="en-IN"/>
        </w:rPr>
        <w:t xml:space="preserve"> example is</w:t>
      </w:r>
      <w:r>
        <w:rPr>
          <w:sz w:val="22"/>
          <w:szCs w:val="22"/>
          <w:lang w:val="es-ES"/>
        </w:rPr>
        <w:t xml:space="preserve"> only a template which is given for formatting, margins, fonts, use of bold and regular, table design, font size for table, manner of writing table headings, therefore please ignore the content. The names of authors are also </w:t>
      </w:r>
      <w:r w:rsidRPr="003B1436">
        <w:rPr>
          <w:sz w:val="22"/>
          <w:szCs w:val="22"/>
        </w:rPr>
        <w:t>given</w:t>
      </w:r>
      <w:r>
        <w:rPr>
          <w:sz w:val="22"/>
          <w:szCs w:val="22"/>
          <w:lang w:val="es-ES"/>
        </w:rPr>
        <w:t xml:space="preserve"> for illustration only. The above mentioned st</w:t>
      </w:r>
      <w:r w:rsidR="00D04B95">
        <w:rPr>
          <w:sz w:val="22"/>
          <w:szCs w:val="22"/>
          <w:lang w:val="es-ES"/>
        </w:rPr>
        <w:t xml:space="preserve">yle may be strictly followed. Exmples are also given for figures which should be clear and original. Proper references may be given in other cases as required.   </w:t>
      </w:r>
      <w:r>
        <w:rPr>
          <w:sz w:val="22"/>
          <w:szCs w:val="22"/>
          <w:lang w:val="es-ES"/>
        </w:rPr>
        <w:t xml:space="preserve"> </w:t>
      </w:r>
    </w:p>
    <w:p w:rsidR="006C1588" w:rsidRDefault="006C1588" w:rsidP="00CA478D">
      <w:pPr>
        <w:pStyle w:val="Paragraph"/>
        <w:jc w:val="both"/>
        <w:rPr>
          <w:sz w:val="22"/>
          <w:szCs w:val="22"/>
          <w:lang w:val="es-ES"/>
        </w:rPr>
      </w:pPr>
    </w:p>
    <w:p w:rsidR="006C1588" w:rsidRDefault="006C1588" w:rsidP="006C1588">
      <w:pPr>
        <w:pStyle w:val="ListParagraph"/>
        <w:numPr>
          <w:ilvl w:val="0"/>
          <w:numId w:val="2"/>
        </w:numPr>
        <w:ind w:hanging="720"/>
        <w:jc w:val="both"/>
        <w:rPr>
          <w:b/>
          <w:bCs/>
        </w:rPr>
      </w:pPr>
      <w:r>
        <w:rPr>
          <w:b/>
          <w:bCs/>
        </w:rPr>
        <w:t xml:space="preserve">Analysis </w:t>
      </w:r>
      <w:r w:rsidR="001C7B14">
        <w:rPr>
          <w:b/>
          <w:bCs/>
        </w:rPr>
        <w:t xml:space="preserve">of Results </w:t>
      </w:r>
      <w:r>
        <w:rPr>
          <w:b/>
          <w:bCs/>
        </w:rPr>
        <w:t>and Discussion:</w:t>
      </w:r>
    </w:p>
    <w:p w:rsidR="006C1588" w:rsidRPr="006C1588" w:rsidRDefault="006C1588" w:rsidP="006C1588">
      <w:pPr>
        <w:jc w:val="both"/>
      </w:pPr>
    </w:p>
    <w:p w:rsidR="001C7B14" w:rsidRDefault="006C1588" w:rsidP="006C1588">
      <w:pPr>
        <w:jc w:val="both"/>
      </w:pPr>
      <w:r w:rsidRPr="006C1588">
        <w:t>Geology plays a vital role in d</w:t>
      </w:r>
      <w:r>
        <w:t xml:space="preserve">evelopment of hydropower in India because most of the projects are located complex Himalayan geology. Therefore, the role of geology right from the planning stage to commissioning and even afterwards cannot be under estimated. Therefore it is strongly emphasized to increase the input of geology in decision making process. Not only it is important to carry out detailed geological investigations and testing but it is also equally vital to </w:t>
      </w:r>
      <w:r w:rsidR="001C7B14">
        <w:t>modify the engineering structures based on geologic findings.</w:t>
      </w:r>
    </w:p>
    <w:p w:rsidR="001C7B14" w:rsidRDefault="001C7B14" w:rsidP="006C1588">
      <w:pPr>
        <w:jc w:val="both"/>
      </w:pPr>
    </w:p>
    <w:p w:rsidR="00A67F93" w:rsidRDefault="001C7B14" w:rsidP="00A67F93">
      <w:pPr>
        <w:keepNext/>
        <w:jc w:val="center"/>
      </w:pPr>
      <w:r>
        <w:rPr>
          <w:noProof/>
          <w:lang w:bidi="hi-IN"/>
        </w:rPr>
        <w:drawing>
          <wp:inline distT="0" distB="0" distL="0" distR="0">
            <wp:extent cx="3493184" cy="2619375"/>
            <wp:effectExtent l="19050" t="0" r="0" b="0"/>
            <wp:docPr id="1" name="Picture 1" descr="D:\Imran Sir\D drive\Imran Sir\Imran Sir\Chungar Chal\101MSDCF\DSC04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ran Sir\D drive\Imran Sir\Imran Sir\Chungar Chal\101MSDCF\DSC04287.JPG"/>
                    <pic:cNvPicPr>
                      <a:picLocks noChangeAspect="1" noChangeArrowheads="1"/>
                    </pic:cNvPicPr>
                  </pic:nvPicPr>
                  <pic:blipFill>
                    <a:blip r:embed="rId8" cstate="print"/>
                    <a:srcRect/>
                    <a:stretch>
                      <a:fillRect/>
                    </a:stretch>
                  </pic:blipFill>
                  <pic:spPr bwMode="auto">
                    <a:xfrm>
                      <a:off x="0" y="0"/>
                      <a:ext cx="3492653" cy="2618977"/>
                    </a:xfrm>
                    <a:prstGeom prst="rect">
                      <a:avLst/>
                    </a:prstGeom>
                    <a:noFill/>
                    <a:ln w="9525">
                      <a:noFill/>
                      <a:miter lim="800000"/>
                      <a:headEnd/>
                      <a:tailEnd/>
                    </a:ln>
                  </pic:spPr>
                </pic:pic>
              </a:graphicData>
            </a:graphic>
          </wp:inline>
        </w:drawing>
      </w:r>
    </w:p>
    <w:p w:rsidR="006C1588" w:rsidRPr="00AD6162" w:rsidRDefault="00A67F93" w:rsidP="00A67F93">
      <w:pPr>
        <w:pStyle w:val="Caption"/>
        <w:jc w:val="center"/>
        <w:rPr>
          <w:b w:val="0"/>
          <w:color w:val="auto"/>
          <w:sz w:val="24"/>
          <w:szCs w:val="24"/>
        </w:rPr>
      </w:pPr>
      <w:r w:rsidRPr="00AD6162">
        <w:rPr>
          <w:b w:val="0"/>
          <w:color w:val="auto"/>
          <w:sz w:val="24"/>
          <w:szCs w:val="24"/>
        </w:rPr>
        <w:t xml:space="preserve">Picture </w:t>
      </w:r>
      <w:r w:rsidR="00B66D7F" w:rsidRPr="00AD6162">
        <w:rPr>
          <w:b w:val="0"/>
          <w:color w:val="auto"/>
          <w:sz w:val="24"/>
          <w:szCs w:val="24"/>
        </w:rPr>
        <w:fldChar w:fldCharType="begin"/>
      </w:r>
      <w:r w:rsidRPr="00AD6162">
        <w:rPr>
          <w:b w:val="0"/>
          <w:color w:val="auto"/>
          <w:sz w:val="24"/>
          <w:szCs w:val="24"/>
        </w:rPr>
        <w:instrText xml:space="preserve"> SEQ Picture \* ARABIC </w:instrText>
      </w:r>
      <w:r w:rsidR="00B66D7F" w:rsidRPr="00AD6162">
        <w:rPr>
          <w:b w:val="0"/>
          <w:color w:val="auto"/>
          <w:sz w:val="24"/>
          <w:szCs w:val="24"/>
        </w:rPr>
        <w:fldChar w:fldCharType="separate"/>
      </w:r>
      <w:r w:rsidRPr="00AD6162">
        <w:rPr>
          <w:b w:val="0"/>
          <w:noProof/>
          <w:color w:val="auto"/>
          <w:sz w:val="24"/>
          <w:szCs w:val="24"/>
        </w:rPr>
        <w:t>1</w:t>
      </w:r>
      <w:r w:rsidR="00B66D7F" w:rsidRPr="00AD6162">
        <w:rPr>
          <w:b w:val="0"/>
          <w:color w:val="auto"/>
          <w:sz w:val="24"/>
          <w:szCs w:val="24"/>
        </w:rPr>
        <w:fldChar w:fldCharType="end"/>
      </w:r>
      <w:r w:rsidRPr="00AD6162">
        <w:rPr>
          <w:b w:val="0"/>
          <w:color w:val="auto"/>
          <w:sz w:val="24"/>
          <w:szCs w:val="24"/>
        </w:rPr>
        <w:t xml:space="preserve"> Dhauliganga River</w:t>
      </w:r>
    </w:p>
    <w:p w:rsidR="001C7B14" w:rsidRDefault="001C7B14" w:rsidP="001C7B14">
      <w:pPr>
        <w:pStyle w:val="Paragraph"/>
        <w:jc w:val="center"/>
        <w:rPr>
          <w:sz w:val="22"/>
          <w:szCs w:val="22"/>
          <w:lang w:val="es-ES"/>
        </w:rPr>
      </w:pPr>
    </w:p>
    <w:bookmarkEnd w:id="0"/>
    <w:bookmarkEnd w:id="1"/>
    <w:p w:rsidR="00CA478D" w:rsidRPr="00E36E91" w:rsidRDefault="00CA478D" w:rsidP="00E36E91">
      <w:pPr>
        <w:jc w:val="both"/>
      </w:pPr>
    </w:p>
    <w:p w:rsidR="003B6351" w:rsidRDefault="003B6351" w:rsidP="003B6351">
      <w:pPr>
        <w:jc w:val="right"/>
        <w:rPr>
          <w:i/>
          <w:iCs/>
        </w:rPr>
      </w:pPr>
      <w:r>
        <w:rPr>
          <w:i/>
          <w:iCs/>
        </w:rPr>
        <w:t xml:space="preserve">J of EG Volume XXII, Nos. 1&amp;2, July 2013 </w:t>
      </w:r>
    </w:p>
    <w:p w:rsidR="003B6351" w:rsidRDefault="003B6351" w:rsidP="003B6351">
      <w:pPr>
        <w:jc w:val="right"/>
      </w:pPr>
    </w:p>
    <w:p w:rsidR="003B6351" w:rsidRDefault="003B6351" w:rsidP="00E36E91">
      <w:pPr>
        <w:jc w:val="both"/>
      </w:pPr>
    </w:p>
    <w:p w:rsidR="00E36E91" w:rsidRDefault="001C7B14" w:rsidP="00E36E91">
      <w:pPr>
        <w:jc w:val="both"/>
      </w:pPr>
      <w:r>
        <w:t>It may be noted that the pictures should be clear and labeled. The pictures should have been taken by authors themselves or if they are using other work proper references need to be given. Authors will be solely responsible for any copyright violations, if any.</w:t>
      </w:r>
    </w:p>
    <w:p w:rsidR="001C7B14" w:rsidRDefault="001C7B14" w:rsidP="00E36E91">
      <w:pPr>
        <w:jc w:val="both"/>
      </w:pPr>
    </w:p>
    <w:p w:rsidR="000656AD" w:rsidRPr="000656AD" w:rsidRDefault="000656AD" w:rsidP="000656AD">
      <w:pPr>
        <w:jc w:val="both"/>
      </w:pPr>
      <w:r w:rsidRPr="000656AD">
        <w:t>V</w:t>
      </w:r>
      <w:r w:rsidRPr="000656AD">
        <w:rPr>
          <w:vertAlign w:val="subscript"/>
        </w:rPr>
        <w:t>p</w:t>
      </w:r>
      <w:r w:rsidRPr="000656AD">
        <w:t xml:space="preserve"> = 4.82 km/s &amp; V</w:t>
      </w:r>
      <w:r w:rsidRPr="000656AD">
        <w:rPr>
          <w:vertAlign w:val="subscript"/>
        </w:rPr>
        <w:t>s</w:t>
      </w:r>
      <w:r w:rsidRPr="000656AD">
        <w:t xml:space="preserve"> = 2.95 km/s</w:t>
      </w:r>
    </w:p>
    <w:p w:rsidR="000656AD" w:rsidRPr="000656AD" w:rsidRDefault="000656AD" w:rsidP="000656AD">
      <w:pPr>
        <w:jc w:val="both"/>
      </w:pPr>
      <w:r w:rsidRPr="000656AD">
        <w:t>E</w:t>
      </w:r>
      <w:r w:rsidRPr="000656AD">
        <w:rPr>
          <w:vertAlign w:val="subscript"/>
        </w:rPr>
        <w:t>Dynamic</w:t>
      </w:r>
      <w:r w:rsidRPr="000656AD">
        <w:t xml:space="preserve"> = 55.3 Gpa, G</w:t>
      </w:r>
      <w:r w:rsidRPr="000656AD">
        <w:rPr>
          <w:vertAlign w:val="subscript"/>
        </w:rPr>
        <w:t>Dynamic</w:t>
      </w:r>
      <w:r w:rsidRPr="000656AD">
        <w:t xml:space="preserve"> 23.1 Gpa, K</w:t>
      </w:r>
      <w:r w:rsidRPr="000656AD">
        <w:rPr>
          <w:vertAlign w:val="subscript"/>
        </w:rPr>
        <w:t>Dynamic</w:t>
      </w:r>
      <w:r w:rsidRPr="000656AD">
        <w:t xml:space="preserve"> = 31.1 Gpa &amp; </w:t>
      </w:r>
      <w:r>
        <w:t xml:space="preserve"> </w:t>
      </w:r>
      <w:r w:rsidRPr="000656AD">
        <w:sym w:font="Symbol" w:char="F073"/>
      </w:r>
      <w:r w:rsidRPr="000656AD">
        <w:rPr>
          <w:vertAlign w:val="subscript"/>
        </w:rPr>
        <w:t>Dynamic</w:t>
      </w:r>
      <w:r w:rsidRPr="000656AD">
        <w:t xml:space="preserve"> = 0.20</w:t>
      </w:r>
    </w:p>
    <w:p w:rsidR="000656AD" w:rsidRPr="000656AD" w:rsidRDefault="000656AD" w:rsidP="000656AD">
      <w:pPr>
        <w:jc w:val="both"/>
      </w:pPr>
      <w:r w:rsidRPr="000656AD">
        <w:t>E</w:t>
      </w:r>
      <w:r>
        <w:rPr>
          <w:vertAlign w:val="subscript"/>
        </w:rPr>
        <w:t>S</w:t>
      </w:r>
      <w:r w:rsidRPr="000656AD">
        <w:rPr>
          <w:vertAlign w:val="subscript"/>
        </w:rPr>
        <w:t>tatic</w:t>
      </w:r>
      <w:r w:rsidRPr="000656AD">
        <w:t xml:space="preserve"> = 30.3 Gpa</w:t>
      </w:r>
    </w:p>
    <w:p w:rsidR="000656AD" w:rsidRDefault="000656AD" w:rsidP="00E36E91">
      <w:pPr>
        <w:jc w:val="both"/>
      </w:pPr>
    </w:p>
    <w:p w:rsidR="000656AD" w:rsidRDefault="000656AD" w:rsidP="00E36E91">
      <w:pPr>
        <w:jc w:val="both"/>
      </w:pPr>
    </w:p>
    <w:p w:rsidR="001C7B14" w:rsidRDefault="001C7B14" w:rsidP="001C7B14">
      <w:pPr>
        <w:pStyle w:val="ListParagraph"/>
        <w:numPr>
          <w:ilvl w:val="0"/>
          <w:numId w:val="2"/>
        </w:numPr>
        <w:ind w:hanging="720"/>
        <w:jc w:val="both"/>
        <w:rPr>
          <w:b/>
          <w:bCs/>
        </w:rPr>
      </w:pPr>
      <w:r>
        <w:rPr>
          <w:b/>
          <w:bCs/>
        </w:rPr>
        <w:t>Conclusions:</w:t>
      </w:r>
    </w:p>
    <w:p w:rsidR="001C7B14" w:rsidRPr="001C7B14" w:rsidRDefault="001C7B14" w:rsidP="001C7B14">
      <w:pPr>
        <w:jc w:val="both"/>
      </w:pPr>
    </w:p>
    <w:p w:rsidR="001C7B14" w:rsidRDefault="001C7B14" w:rsidP="001C7B14">
      <w:pPr>
        <w:jc w:val="both"/>
      </w:pPr>
      <w:r w:rsidRPr="001C7B14">
        <w:t xml:space="preserve">Hydropower development is very important </w:t>
      </w:r>
      <w:r>
        <w:t xml:space="preserve">for proper energy balance in India. Engineering geology accordingly has to be strengthened at all the levels. </w:t>
      </w:r>
    </w:p>
    <w:p w:rsidR="001C7B14" w:rsidRDefault="001C7B14" w:rsidP="001C7B14">
      <w:pPr>
        <w:jc w:val="both"/>
      </w:pPr>
    </w:p>
    <w:p w:rsidR="001C7B14" w:rsidRPr="001C7B14" w:rsidRDefault="001C7B14" w:rsidP="001C7B14">
      <w:pPr>
        <w:jc w:val="both"/>
      </w:pPr>
    </w:p>
    <w:p w:rsidR="009146D1" w:rsidRDefault="009146D1" w:rsidP="009146D1">
      <w:pPr>
        <w:keepNext/>
        <w:jc w:val="center"/>
      </w:pPr>
      <w:r>
        <w:rPr>
          <w:noProof/>
          <w:lang w:bidi="hi-IN"/>
        </w:rPr>
        <w:drawing>
          <wp:inline distT="0" distB="0" distL="0" distR="0">
            <wp:extent cx="4229735" cy="3383787"/>
            <wp:effectExtent l="19050" t="0" r="0" b="0"/>
            <wp:docPr id="3" name="Picture 2" descr="C:\Users\imran\AppData\Local\Microsoft\Windows\Temporary Internet Files\Content.Outlook\53MP1Q22\1 HRT Stereo Plots sector wise final 12022013-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ran\AppData\Local\Microsoft\Windows\Temporary Internet Files\Content.Outlook\53MP1Q22\1 HRT Stereo Plots sector wise final 12022013-Model.jpg"/>
                    <pic:cNvPicPr>
                      <a:picLocks noChangeAspect="1" noChangeArrowheads="1"/>
                    </pic:cNvPicPr>
                  </pic:nvPicPr>
                  <pic:blipFill>
                    <a:blip r:embed="rId9" cstate="print"/>
                    <a:srcRect/>
                    <a:stretch>
                      <a:fillRect/>
                    </a:stretch>
                  </pic:blipFill>
                  <pic:spPr bwMode="auto">
                    <a:xfrm>
                      <a:off x="0" y="0"/>
                      <a:ext cx="4229174" cy="3383338"/>
                    </a:xfrm>
                    <a:prstGeom prst="rect">
                      <a:avLst/>
                    </a:prstGeom>
                    <a:noFill/>
                    <a:ln w="9525">
                      <a:noFill/>
                      <a:miter lim="800000"/>
                      <a:headEnd/>
                      <a:tailEnd/>
                    </a:ln>
                  </pic:spPr>
                </pic:pic>
              </a:graphicData>
            </a:graphic>
          </wp:inline>
        </w:drawing>
      </w:r>
    </w:p>
    <w:p w:rsidR="001C7B14" w:rsidRDefault="009146D1" w:rsidP="009146D1">
      <w:pPr>
        <w:pStyle w:val="Caption"/>
        <w:jc w:val="center"/>
        <w:rPr>
          <w:b w:val="0"/>
          <w:color w:val="auto"/>
          <w:sz w:val="24"/>
        </w:rPr>
      </w:pPr>
      <w:r w:rsidRPr="009146D1">
        <w:rPr>
          <w:b w:val="0"/>
          <w:color w:val="auto"/>
          <w:sz w:val="24"/>
        </w:rPr>
        <w:t xml:space="preserve">Figure </w:t>
      </w:r>
      <w:r w:rsidR="00B66D7F" w:rsidRPr="009146D1">
        <w:rPr>
          <w:b w:val="0"/>
          <w:color w:val="auto"/>
          <w:sz w:val="24"/>
        </w:rPr>
        <w:fldChar w:fldCharType="begin"/>
      </w:r>
      <w:r w:rsidRPr="009146D1">
        <w:rPr>
          <w:b w:val="0"/>
          <w:color w:val="auto"/>
          <w:sz w:val="24"/>
        </w:rPr>
        <w:instrText xml:space="preserve"> SEQ Figure \* ARABIC </w:instrText>
      </w:r>
      <w:r w:rsidR="00B66D7F" w:rsidRPr="009146D1">
        <w:rPr>
          <w:b w:val="0"/>
          <w:color w:val="auto"/>
          <w:sz w:val="24"/>
        </w:rPr>
        <w:fldChar w:fldCharType="separate"/>
      </w:r>
      <w:r w:rsidRPr="009146D1">
        <w:rPr>
          <w:b w:val="0"/>
          <w:noProof/>
          <w:color w:val="auto"/>
          <w:sz w:val="24"/>
        </w:rPr>
        <w:t>1</w:t>
      </w:r>
      <w:r w:rsidR="00B66D7F" w:rsidRPr="009146D1">
        <w:rPr>
          <w:b w:val="0"/>
          <w:color w:val="auto"/>
          <w:sz w:val="24"/>
        </w:rPr>
        <w:fldChar w:fldCharType="end"/>
      </w:r>
      <w:r w:rsidRPr="009146D1">
        <w:rPr>
          <w:b w:val="0"/>
          <w:color w:val="auto"/>
          <w:sz w:val="24"/>
        </w:rPr>
        <w:t xml:space="preserve"> Streo plot, HRT, Section 1b</w:t>
      </w:r>
    </w:p>
    <w:p w:rsidR="009146D1" w:rsidRDefault="009146D1" w:rsidP="009146D1"/>
    <w:p w:rsidR="009146D1" w:rsidRDefault="009146D1" w:rsidP="009146D1">
      <w:r>
        <w:t xml:space="preserve">Just like pictures, figures should also be clear and legible with caption attached to the figure. </w:t>
      </w:r>
    </w:p>
    <w:p w:rsidR="009146D1" w:rsidRDefault="009146D1" w:rsidP="009146D1"/>
    <w:p w:rsidR="009146D1" w:rsidRDefault="009146D1" w:rsidP="009146D1"/>
    <w:p w:rsidR="00243A60" w:rsidRDefault="00243A60" w:rsidP="009146D1">
      <w:pPr>
        <w:jc w:val="right"/>
        <w:rPr>
          <w:i/>
          <w:iCs/>
        </w:rPr>
      </w:pPr>
    </w:p>
    <w:p w:rsidR="009146D1" w:rsidRDefault="009146D1" w:rsidP="009146D1">
      <w:pPr>
        <w:jc w:val="right"/>
        <w:rPr>
          <w:i/>
          <w:iCs/>
        </w:rPr>
      </w:pPr>
      <w:r>
        <w:rPr>
          <w:i/>
          <w:iCs/>
        </w:rPr>
        <w:lastRenderedPageBreak/>
        <w:t xml:space="preserve">J of EG Volume XXII, Nos. 1&amp;2, July 2013 </w:t>
      </w:r>
    </w:p>
    <w:p w:rsidR="009146D1" w:rsidRDefault="009146D1" w:rsidP="009146D1">
      <w:pPr>
        <w:jc w:val="right"/>
      </w:pPr>
    </w:p>
    <w:p w:rsidR="009146D1" w:rsidRPr="009146D1" w:rsidRDefault="009146D1" w:rsidP="009146D1">
      <w:pPr>
        <w:jc w:val="both"/>
        <w:rPr>
          <w:b/>
          <w:bCs/>
        </w:rPr>
      </w:pPr>
      <w:r w:rsidRPr="009146D1">
        <w:rPr>
          <w:b/>
          <w:bCs/>
        </w:rPr>
        <w:t>References:</w:t>
      </w:r>
    </w:p>
    <w:p w:rsidR="009146D1" w:rsidRDefault="009146D1" w:rsidP="009146D1">
      <w:pPr>
        <w:jc w:val="both"/>
      </w:pPr>
    </w:p>
    <w:p w:rsidR="009146D1" w:rsidRPr="009146D1" w:rsidRDefault="009146D1" w:rsidP="009146D1">
      <w:pPr>
        <w:pStyle w:val="ReferenceText"/>
        <w:numPr>
          <w:ilvl w:val="1"/>
          <w:numId w:val="3"/>
        </w:numPr>
        <w:spacing w:after="0"/>
        <w:ind w:left="544"/>
        <w:jc w:val="both"/>
        <w:rPr>
          <w:sz w:val="24"/>
        </w:rPr>
      </w:pPr>
      <w:r w:rsidRPr="009146D1">
        <w:rPr>
          <w:sz w:val="24"/>
        </w:rPr>
        <w:t>Bieniawski, Z.T.</w:t>
      </w:r>
      <w:r>
        <w:rPr>
          <w:sz w:val="24"/>
        </w:rPr>
        <w:t>(</w:t>
      </w:r>
      <w:r w:rsidRPr="009146D1">
        <w:rPr>
          <w:sz w:val="24"/>
        </w:rPr>
        <w:t>1973</w:t>
      </w:r>
      <w:r>
        <w:rPr>
          <w:sz w:val="24"/>
        </w:rPr>
        <w:t>)</w:t>
      </w:r>
      <w:r w:rsidRPr="009146D1">
        <w:rPr>
          <w:sz w:val="24"/>
        </w:rPr>
        <w:t xml:space="preserve">. Engineering classification of jointed rock masses. </w:t>
      </w:r>
      <w:r w:rsidRPr="009146D1">
        <w:rPr>
          <w:i/>
          <w:sz w:val="24"/>
        </w:rPr>
        <w:t>Trans. S.Afr. Inst. Civ.Eng.</w:t>
      </w:r>
      <w:r w:rsidRPr="009146D1">
        <w:rPr>
          <w:b/>
          <w:sz w:val="24"/>
        </w:rPr>
        <w:t>15,</w:t>
      </w:r>
      <w:r w:rsidRPr="009146D1">
        <w:rPr>
          <w:b/>
          <w:i/>
          <w:sz w:val="24"/>
        </w:rPr>
        <w:t xml:space="preserve"> </w:t>
      </w:r>
      <w:r w:rsidRPr="009146D1">
        <w:rPr>
          <w:sz w:val="24"/>
        </w:rPr>
        <w:t xml:space="preserve"> 335-344.</w:t>
      </w:r>
    </w:p>
    <w:p w:rsidR="009146D1" w:rsidRPr="009146D1" w:rsidRDefault="009146D1" w:rsidP="009146D1">
      <w:pPr>
        <w:pStyle w:val="ReferenceText"/>
        <w:numPr>
          <w:ilvl w:val="1"/>
          <w:numId w:val="3"/>
        </w:numPr>
        <w:spacing w:after="0"/>
        <w:ind w:left="544"/>
        <w:jc w:val="both"/>
        <w:rPr>
          <w:sz w:val="24"/>
        </w:rPr>
      </w:pPr>
      <w:r w:rsidRPr="009146D1">
        <w:rPr>
          <w:sz w:val="24"/>
        </w:rPr>
        <w:t>Bieniawski, Z.T.</w:t>
      </w:r>
      <w:r>
        <w:rPr>
          <w:sz w:val="24"/>
        </w:rPr>
        <w:t>(</w:t>
      </w:r>
      <w:r w:rsidRPr="009146D1">
        <w:rPr>
          <w:sz w:val="24"/>
        </w:rPr>
        <w:t>1979</w:t>
      </w:r>
      <w:r>
        <w:rPr>
          <w:sz w:val="24"/>
        </w:rPr>
        <w:t>)</w:t>
      </w:r>
      <w:r w:rsidRPr="009146D1">
        <w:rPr>
          <w:sz w:val="24"/>
        </w:rPr>
        <w:t xml:space="preserve">. The geomechanics classification rock engineering applications. </w:t>
      </w:r>
      <w:r w:rsidRPr="009146D1">
        <w:rPr>
          <w:i/>
          <w:sz w:val="24"/>
        </w:rPr>
        <w:t>Proc. 4</w:t>
      </w:r>
      <w:r w:rsidRPr="009146D1">
        <w:rPr>
          <w:i/>
          <w:sz w:val="24"/>
          <w:vertAlign w:val="superscript"/>
        </w:rPr>
        <w:t>th</w:t>
      </w:r>
      <w:r w:rsidRPr="009146D1">
        <w:rPr>
          <w:i/>
          <w:sz w:val="24"/>
        </w:rPr>
        <w:t xml:space="preserve"> Int. Congr. Rock Mech., ISRM, Montreux,</w:t>
      </w:r>
      <w:r w:rsidRPr="009146D1">
        <w:rPr>
          <w:sz w:val="24"/>
        </w:rPr>
        <w:t xml:space="preserve"> 1979, vol.2, 41-48.</w:t>
      </w:r>
    </w:p>
    <w:p w:rsidR="009146D1" w:rsidRDefault="009146D1" w:rsidP="009146D1">
      <w:pPr>
        <w:pStyle w:val="ReferenceText"/>
        <w:numPr>
          <w:ilvl w:val="1"/>
          <w:numId w:val="3"/>
        </w:numPr>
        <w:spacing w:after="0"/>
        <w:ind w:left="544"/>
        <w:jc w:val="both"/>
        <w:rPr>
          <w:sz w:val="24"/>
        </w:rPr>
      </w:pPr>
      <w:r w:rsidRPr="009146D1">
        <w:rPr>
          <w:sz w:val="24"/>
        </w:rPr>
        <w:t>Bieniawski, Z.T. 1989.</w:t>
      </w:r>
      <w:r w:rsidRPr="009146D1">
        <w:rPr>
          <w:i/>
          <w:sz w:val="24"/>
        </w:rPr>
        <w:t xml:space="preserve"> </w:t>
      </w:r>
      <w:r w:rsidRPr="009146D1">
        <w:rPr>
          <w:iCs/>
          <w:sz w:val="24"/>
        </w:rPr>
        <w:t>Engineering rock mass classification</w:t>
      </w:r>
      <w:r w:rsidRPr="009146D1">
        <w:rPr>
          <w:i/>
          <w:sz w:val="24"/>
        </w:rPr>
        <w:t>.</w:t>
      </w:r>
      <w:r w:rsidRPr="009146D1">
        <w:rPr>
          <w:sz w:val="24"/>
        </w:rPr>
        <w:t>: Jhon Wiley &amp; Sons.</w:t>
      </w:r>
      <w:r>
        <w:rPr>
          <w:sz w:val="24"/>
        </w:rPr>
        <w:t xml:space="preserve"> </w:t>
      </w:r>
      <w:r w:rsidRPr="009146D1">
        <w:rPr>
          <w:sz w:val="24"/>
        </w:rPr>
        <w:t>New York</w:t>
      </w:r>
      <w:r>
        <w:rPr>
          <w:sz w:val="24"/>
        </w:rPr>
        <w:t>, 272 p.</w:t>
      </w:r>
    </w:p>
    <w:p w:rsidR="009146D1" w:rsidRPr="009146D1" w:rsidRDefault="009146D1" w:rsidP="009146D1">
      <w:pPr>
        <w:pStyle w:val="ReferenceText"/>
        <w:numPr>
          <w:ilvl w:val="1"/>
          <w:numId w:val="3"/>
        </w:numPr>
        <w:spacing w:after="0"/>
        <w:ind w:left="544"/>
        <w:jc w:val="both"/>
        <w:rPr>
          <w:sz w:val="24"/>
        </w:rPr>
      </w:pPr>
      <w:r w:rsidRPr="009146D1">
        <w:rPr>
          <w:sz w:val="24"/>
        </w:rPr>
        <w:t xml:space="preserve">Terzaghi, K. </w:t>
      </w:r>
      <w:r>
        <w:rPr>
          <w:sz w:val="24"/>
        </w:rPr>
        <w:t>(</w:t>
      </w:r>
      <w:r w:rsidRPr="009146D1">
        <w:rPr>
          <w:sz w:val="24"/>
        </w:rPr>
        <w:t>1946</w:t>
      </w:r>
      <w:r>
        <w:rPr>
          <w:sz w:val="24"/>
        </w:rPr>
        <w:t>)</w:t>
      </w:r>
      <w:r w:rsidRPr="009146D1">
        <w:rPr>
          <w:sz w:val="24"/>
        </w:rPr>
        <w:t xml:space="preserve">. Rock defects and loads on tunnel supports. </w:t>
      </w:r>
      <w:r w:rsidRPr="009146D1">
        <w:rPr>
          <w:i/>
          <w:sz w:val="24"/>
        </w:rPr>
        <w:t xml:space="preserve">Rock Tunnelling with Steel Supports. </w:t>
      </w:r>
      <w:r w:rsidRPr="009146D1">
        <w:rPr>
          <w:sz w:val="24"/>
        </w:rPr>
        <w:t>Ed. R.V. Proctor and T. White, Commercial Shearing Co.Younstown, OH, 15-19.*</w:t>
      </w:r>
    </w:p>
    <w:p w:rsidR="009146D1" w:rsidRPr="009146D1" w:rsidRDefault="009146D1" w:rsidP="009146D1">
      <w:pPr>
        <w:pStyle w:val="ReferenceText"/>
        <w:spacing w:after="0"/>
        <w:ind w:left="544"/>
        <w:jc w:val="both"/>
        <w:rPr>
          <w:sz w:val="24"/>
        </w:rPr>
      </w:pPr>
      <w:r w:rsidRPr="009146D1">
        <w:rPr>
          <w:sz w:val="24"/>
        </w:rPr>
        <w:t>(* cited from Bieniawski 1989.)</w:t>
      </w:r>
    </w:p>
    <w:p w:rsidR="009146D1" w:rsidRPr="009146D1" w:rsidRDefault="009146D1" w:rsidP="009146D1">
      <w:pPr>
        <w:pStyle w:val="ReferenceText"/>
        <w:spacing w:after="0"/>
        <w:ind w:left="544"/>
        <w:jc w:val="both"/>
        <w:rPr>
          <w:sz w:val="24"/>
        </w:rPr>
      </w:pPr>
    </w:p>
    <w:p w:rsidR="009146D1" w:rsidRPr="009146D1" w:rsidRDefault="009146D1" w:rsidP="009146D1">
      <w:pPr>
        <w:jc w:val="both"/>
      </w:pPr>
    </w:p>
    <w:sectPr w:rsidR="009146D1" w:rsidRPr="009146D1" w:rsidSect="00053A81">
      <w:headerReference w:type="default" r:id="rId10"/>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3D" w:rsidRDefault="00BB543D" w:rsidP="00F33B96">
      <w:r>
        <w:separator/>
      </w:r>
    </w:p>
  </w:endnote>
  <w:endnote w:type="continuationSeparator" w:id="0">
    <w:p w:rsidR="00BB543D" w:rsidRDefault="00BB543D" w:rsidP="00F33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3D" w:rsidRDefault="00BB543D" w:rsidP="00F33B96">
      <w:r>
        <w:separator/>
      </w:r>
    </w:p>
  </w:footnote>
  <w:footnote w:type="continuationSeparator" w:id="0">
    <w:p w:rsidR="00BB543D" w:rsidRDefault="00BB543D" w:rsidP="00F33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96" w:rsidRDefault="00F33B96" w:rsidP="00F33B96">
    <w:pPr>
      <w:pStyle w:val="Header"/>
      <w:jc w:val="right"/>
      <w:rPr>
        <w:i/>
        <w:iCs/>
      </w:rPr>
    </w:pPr>
    <w:r>
      <w:rPr>
        <w:i/>
        <w:iCs/>
      </w:rPr>
      <w:t xml:space="preserve">Template for submitting research or professional paper for publication in </w:t>
    </w:r>
  </w:p>
  <w:p w:rsidR="00F33B96" w:rsidRPr="00F33B96" w:rsidRDefault="00F33B96" w:rsidP="00F33B96">
    <w:pPr>
      <w:pStyle w:val="Header"/>
      <w:jc w:val="right"/>
      <w:rPr>
        <w:i/>
        <w:iCs/>
      </w:rPr>
    </w:pPr>
    <w:r>
      <w:rPr>
        <w:i/>
        <w:iCs/>
      </w:rPr>
      <w:t>Journal of Engineering Geology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25B2C"/>
    <w:multiLevelType w:val="hybridMultilevel"/>
    <w:tmpl w:val="C3EE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E2E5A"/>
    <w:multiLevelType w:val="hybridMultilevel"/>
    <w:tmpl w:val="782A488C"/>
    <w:lvl w:ilvl="0" w:tplc="FFFFFFFF">
      <w:start w:val="1"/>
      <w:numFmt w:val="bullet"/>
      <w:lvlText w:val=""/>
      <w:lvlJc w:val="left"/>
      <w:pPr>
        <w:tabs>
          <w:tab w:val="num" w:pos="547"/>
        </w:tabs>
        <w:ind w:left="547" w:hanging="432"/>
      </w:pPr>
      <w:rPr>
        <w:rFonts w:ascii="Symbol" w:hAnsi="Symbol" w:hint="default"/>
        <w:sz w:val="24"/>
      </w:rPr>
    </w:lvl>
    <w:lvl w:ilvl="1" w:tplc="FFFFFFFF">
      <w:start w:val="1"/>
      <w:numFmt w:val="decimal"/>
      <w:lvlText w:val="%2."/>
      <w:lvlJc w:val="left"/>
      <w:pPr>
        <w:tabs>
          <w:tab w:val="num" w:pos="547"/>
        </w:tabs>
        <w:ind w:left="547" w:hanging="432"/>
      </w:pPr>
      <w:rPr>
        <w:rFonts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97B69F4A">
      <w:start w:val="10"/>
      <w:numFmt w:val="decimal"/>
      <w:lvlText w:val="%4"/>
      <w:lvlJc w:val="left"/>
      <w:pPr>
        <w:ind w:left="2880" w:hanging="360"/>
      </w:pPr>
      <w:rPr>
        <w:rFonts w:cs="Times New Roman" w:hint="default"/>
        <w:i w:val="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C360594"/>
    <w:multiLevelType w:val="hybridMultilevel"/>
    <w:tmpl w:val="93DE52D6"/>
    <w:lvl w:ilvl="0" w:tplc="48CE5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3A81"/>
    <w:rsid w:val="00053A81"/>
    <w:rsid w:val="000656AD"/>
    <w:rsid w:val="00131342"/>
    <w:rsid w:val="00164053"/>
    <w:rsid w:val="001C7B14"/>
    <w:rsid w:val="001D0779"/>
    <w:rsid w:val="00243A60"/>
    <w:rsid w:val="002469DA"/>
    <w:rsid w:val="002A156B"/>
    <w:rsid w:val="002C4E78"/>
    <w:rsid w:val="003B1436"/>
    <w:rsid w:val="003B6351"/>
    <w:rsid w:val="004732A5"/>
    <w:rsid w:val="00531572"/>
    <w:rsid w:val="005D2B39"/>
    <w:rsid w:val="006C1588"/>
    <w:rsid w:val="007D7B78"/>
    <w:rsid w:val="009146D1"/>
    <w:rsid w:val="00962983"/>
    <w:rsid w:val="00A67F93"/>
    <w:rsid w:val="00AD6162"/>
    <w:rsid w:val="00B455D0"/>
    <w:rsid w:val="00B66D7F"/>
    <w:rsid w:val="00BB543D"/>
    <w:rsid w:val="00BF7363"/>
    <w:rsid w:val="00CA478D"/>
    <w:rsid w:val="00D04B95"/>
    <w:rsid w:val="00E36E91"/>
    <w:rsid w:val="00F33B96"/>
    <w:rsid w:val="00FA51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8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uiPriority w:val="10"/>
    <w:qFormat/>
    <w:rsid w:val="00053A81"/>
    <w:pPr>
      <w:widowControl w:val="0"/>
      <w:suppressAutoHyphens/>
    </w:pPr>
    <w:rPr>
      <w:rFonts w:ascii="Arial" w:hAnsi="Arial"/>
      <w:sz w:val="28"/>
    </w:rPr>
  </w:style>
  <w:style w:type="character" w:customStyle="1" w:styleId="TitleChar">
    <w:name w:val="Title Char"/>
    <w:basedOn w:val="DefaultParagraphFont"/>
    <w:link w:val="Title"/>
    <w:uiPriority w:val="10"/>
    <w:rsid w:val="00053A81"/>
    <w:rPr>
      <w:rFonts w:ascii="Arial" w:eastAsia="Times New Roman" w:hAnsi="Arial" w:cs="Times New Roman"/>
      <w:sz w:val="28"/>
      <w:szCs w:val="24"/>
      <w:lang w:bidi="ar-SA"/>
    </w:rPr>
  </w:style>
  <w:style w:type="paragraph" w:customStyle="1" w:styleId="Author">
    <w:name w:val="Author"/>
    <w:basedOn w:val="Normal"/>
    <w:next w:val="Normal"/>
    <w:rsid w:val="00053A81"/>
    <w:pPr>
      <w:widowControl w:val="0"/>
      <w:suppressAutoHyphens/>
      <w:spacing w:after="480"/>
    </w:pPr>
    <w:rPr>
      <w:rFonts w:ascii="Arial" w:hAnsi="Arial"/>
      <w:sz w:val="20"/>
    </w:rPr>
  </w:style>
  <w:style w:type="paragraph" w:customStyle="1" w:styleId="copyright">
    <w:name w:val="copyright"/>
    <w:basedOn w:val="Author"/>
    <w:rsid w:val="00053A81"/>
    <w:pPr>
      <w:suppressAutoHyphens w:val="0"/>
      <w:spacing w:after="0" w:line="140" w:lineRule="exact"/>
      <w:jc w:val="both"/>
    </w:pPr>
    <w:rPr>
      <w:sz w:val="12"/>
    </w:rPr>
  </w:style>
  <w:style w:type="paragraph" w:styleId="ListParagraph">
    <w:name w:val="List Paragraph"/>
    <w:basedOn w:val="Normal"/>
    <w:uiPriority w:val="34"/>
    <w:qFormat/>
    <w:rsid w:val="001D0779"/>
    <w:pPr>
      <w:ind w:left="720"/>
      <w:contextualSpacing/>
    </w:pPr>
  </w:style>
  <w:style w:type="paragraph" w:customStyle="1" w:styleId="Paragraph">
    <w:name w:val="Paragraph"/>
    <w:basedOn w:val="BodyText"/>
    <w:rsid w:val="00CA478D"/>
  </w:style>
  <w:style w:type="paragraph" w:styleId="BodyText">
    <w:name w:val="Body Text"/>
    <w:basedOn w:val="Normal"/>
    <w:link w:val="BodyTextChar"/>
    <w:uiPriority w:val="99"/>
    <w:semiHidden/>
    <w:unhideWhenUsed/>
    <w:rsid w:val="00CA478D"/>
    <w:pPr>
      <w:spacing w:after="120"/>
    </w:pPr>
  </w:style>
  <w:style w:type="character" w:customStyle="1" w:styleId="BodyTextChar">
    <w:name w:val="Body Text Char"/>
    <w:basedOn w:val="DefaultParagraphFont"/>
    <w:link w:val="BodyText"/>
    <w:uiPriority w:val="99"/>
    <w:semiHidden/>
    <w:rsid w:val="00CA478D"/>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C7B14"/>
    <w:rPr>
      <w:rFonts w:ascii="Tahoma" w:hAnsi="Tahoma" w:cs="Tahoma"/>
      <w:sz w:val="16"/>
      <w:szCs w:val="16"/>
    </w:rPr>
  </w:style>
  <w:style w:type="character" w:customStyle="1" w:styleId="BalloonTextChar">
    <w:name w:val="Balloon Text Char"/>
    <w:basedOn w:val="DefaultParagraphFont"/>
    <w:link w:val="BalloonText"/>
    <w:uiPriority w:val="99"/>
    <w:semiHidden/>
    <w:rsid w:val="001C7B14"/>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F33B96"/>
    <w:pPr>
      <w:tabs>
        <w:tab w:val="center" w:pos="4680"/>
        <w:tab w:val="right" w:pos="9360"/>
      </w:tabs>
    </w:pPr>
  </w:style>
  <w:style w:type="character" w:customStyle="1" w:styleId="HeaderChar">
    <w:name w:val="Header Char"/>
    <w:basedOn w:val="DefaultParagraphFont"/>
    <w:link w:val="Header"/>
    <w:uiPriority w:val="99"/>
    <w:semiHidden/>
    <w:rsid w:val="00F33B96"/>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F33B96"/>
    <w:pPr>
      <w:tabs>
        <w:tab w:val="center" w:pos="4680"/>
        <w:tab w:val="right" w:pos="9360"/>
      </w:tabs>
    </w:pPr>
  </w:style>
  <w:style w:type="character" w:customStyle="1" w:styleId="FooterChar">
    <w:name w:val="Footer Char"/>
    <w:basedOn w:val="DefaultParagraphFont"/>
    <w:link w:val="Footer"/>
    <w:uiPriority w:val="99"/>
    <w:semiHidden/>
    <w:rsid w:val="00F33B96"/>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A67F93"/>
    <w:pPr>
      <w:spacing w:after="200"/>
    </w:pPr>
    <w:rPr>
      <w:b/>
      <w:bCs/>
      <w:color w:val="4F81BD" w:themeColor="accent1"/>
      <w:sz w:val="18"/>
      <w:szCs w:val="18"/>
    </w:rPr>
  </w:style>
  <w:style w:type="paragraph" w:customStyle="1" w:styleId="ReferenceText">
    <w:name w:val="ReferenceText"/>
    <w:basedOn w:val="Paragraph"/>
    <w:rsid w:val="009146D1"/>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8CE50-C176-4179-AB59-3D2C89D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dcterms:created xsi:type="dcterms:W3CDTF">2013-03-25T05:52:00Z</dcterms:created>
  <dcterms:modified xsi:type="dcterms:W3CDTF">2013-03-25T05:52:00Z</dcterms:modified>
</cp:coreProperties>
</file>